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9B" w:rsidRDefault="00E40F9B" w:rsidP="00E40F9B">
      <w:pPr>
        <w:jc w:val="center"/>
        <w:rPr>
          <w:sz w:val="40"/>
          <w:szCs w:val="40"/>
        </w:rPr>
      </w:pPr>
      <w:r>
        <w:rPr>
          <w:sz w:val="40"/>
          <w:szCs w:val="40"/>
        </w:rPr>
        <w:t>Allocations by County</w:t>
      </w:r>
    </w:p>
    <w:p w:rsidR="00E40F9B" w:rsidRDefault="00E40F9B" w:rsidP="002769CE">
      <w:pPr>
        <w:pStyle w:val="ListParagraph"/>
        <w:rPr>
          <w:sz w:val="24"/>
          <w:szCs w:val="24"/>
        </w:rPr>
      </w:pPr>
    </w:p>
    <w:p w:rsidR="002769CE" w:rsidRPr="002769CE" w:rsidRDefault="002769CE" w:rsidP="002769CE">
      <w:pPr>
        <w:rPr>
          <w:b/>
          <w:sz w:val="28"/>
          <w:szCs w:val="28"/>
          <w:u w:val="single"/>
        </w:rPr>
      </w:pPr>
      <w:r w:rsidRPr="002769CE">
        <w:rPr>
          <w:b/>
          <w:sz w:val="28"/>
          <w:szCs w:val="28"/>
          <w:u w:val="single"/>
        </w:rPr>
        <w:t>Background:</w:t>
      </w:r>
    </w:p>
    <w:p w:rsidR="00010BD2" w:rsidRDefault="00010BD2" w:rsidP="00010BD2">
      <w:pPr>
        <w:rPr>
          <w:sz w:val="24"/>
          <w:szCs w:val="24"/>
        </w:rPr>
      </w:pPr>
      <w:r>
        <w:rPr>
          <w:sz w:val="24"/>
          <w:szCs w:val="24"/>
        </w:rPr>
        <w:t xml:space="preserve">Payment Assistance (Program) allocations must be entered in </w:t>
      </w:r>
      <w:proofErr w:type="spellStart"/>
      <w:r>
        <w:rPr>
          <w:sz w:val="24"/>
          <w:szCs w:val="24"/>
        </w:rPr>
        <w:t>ServTraq</w:t>
      </w:r>
      <w:proofErr w:type="spellEnd"/>
      <w:r>
        <w:rPr>
          <w:sz w:val="24"/>
          <w:szCs w:val="24"/>
        </w:rPr>
        <w:t xml:space="preserve"> to make use of the built-in Payment Assistance Reports. The allocations must be set up by </w:t>
      </w:r>
      <w:r>
        <w:rPr>
          <w:b/>
          <w:i/>
          <w:sz w:val="24"/>
          <w:szCs w:val="24"/>
        </w:rPr>
        <w:t>subprogram</w:t>
      </w:r>
      <w:r>
        <w:rPr>
          <w:sz w:val="24"/>
          <w:szCs w:val="24"/>
        </w:rPr>
        <w:t xml:space="preserve"> and by </w:t>
      </w:r>
      <w:r>
        <w:rPr>
          <w:b/>
          <w:i/>
          <w:sz w:val="24"/>
          <w:szCs w:val="24"/>
        </w:rPr>
        <w:t>county</w:t>
      </w:r>
      <w:r>
        <w:rPr>
          <w:sz w:val="24"/>
          <w:szCs w:val="24"/>
        </w:rPr>
        <w:t xml:space="preserve"> otherwise there will be discrepancies between the </w:t>
      </w:r>
      <w:r>
        <w:rPr>
          <w:i/>
          <w:sz w:val="24"/>
          <w:szCs w:val="24"/>
        </w:rPr>
        <w:t>Expenditure Progress by County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Expenditure Progress Summary </w:t>
      </w:r>
      <w:r>
        <w:rPr>
          <w:sz w:val="24"/>
          <w:szCs w:val="24"/>
        </w:rPr>
        <w:t xml:space="preserve">report. Please note that even if you only serve one county the same process must be followed. </w:t>
      </w:r>
    </w:p>
    <w:p w:rsidR="009753DA" w:rsidRDefault="00483E5E" w:rsidP="002769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:rsidR="00483E5E" w:rsidRPr="00483E5E" w:rsidRDefault="00010BD2" w:rsidP="002769CE">
      <w:pPr>
        <w:rPr>
          <w:sz w:val="24"/>
          <w:szCs w:val="24"/>
        </w:rPr>
      </w:pPr>
      <w:r>
        <w:rPr>
          <w:sz w:val="24"/>
          <w:szCs w:val="24"/>
        </w:rPr>
        <w:t xml:space="preserve">You must have </w:t>
      </w:r>
      <w:r w:rsidRPr="00685FB0">
        <w:rPr>
          <w:i/>
          <w:sz w:val="24"/>
          <w:szCs w:val="24"/>
        </w:rPr>
        <w:t>Agency A</w:t>
      </w:r>
      <w:r w:rsidR="00483E5E" w:rsidRPr="00685FB0">
        <w:rPr>
          <w:i/>
          <w:sz w:val="24"/>
          <w:szCs w:val="24"/>
        </w:rPr>
        <w:t>dministrator</w:t>
      </w:r>
      <w:r w:rsidR="00483E5E">
        <w:rPr>
          <w:sz w:val="24"/>
          <w:szCs w:val="24"/>
        </w:rPr>
        <w:t xml:space="preserve"> permissions enabled.</w:t>
      </w:r>
    </w:p>
    <w:p w:rsidR="004B685E" w:rsidRDefault="009753DA" w:rsidP="002769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</w:t>
      </w:r>
      <w:r w:rsidRPr="009753DA">
        <w:rPr>
          <w:b/>
          <w:sz w:val="28"/>
          <w:szCs w:val="28"/>
          <w:u w:val="single"/>
        </w:rPr>
        <w:t>:</w:t>
      </w:r>
    </w:p>
    <w:p w:rsidR="009753DA" w:rsidRPr="007B7BF1" w:rsidRDefault="007F472B" w:rsidP="007B7BF1">
      <w:pPr>
        <w:rPr>
          <w:sz w:val="24"/>
          <w:szCs w:val="24"/>
        </w:rPr>
      </w:pPr>
      <w:proofErr w:type="gramStart"/>
      <w:r w:rsidRPr="007B7BF1">
        <w:rPr>
          <w:sz w:val="24"/>
          <w:szCs w:val="24"/>
        </w:rPr>
        <w:t xml:space="preserve">From the </w:t>
      </w:r>
      <w:r w:rsidRPr="00685FB0">
        <w:rPr>
          <w:i/>
          <w:sz w:val="24"/>
          <w:szCs w:val="24"/>
        </w:rPr>
        <w:t>Administration</w:t>
      </w:r>
      <w:r w:rsidRPr="007B7BF1">
        <w:rPr>
          <w:sz w:val="24"/>
          <w:szCs w:val="24"/>
        </w:rPr>
        <w:t xml:space="preserve"> tab</w:t>
      </w:r>
      <w:r w:rsidR="00954CD0" w:rsidRPr="007B7BF1">
        <w:rPr>
          <w:sz w:val="24"/>
          <w:szCs w:val="24"/>
        </w:rPr>
        <w:t xml:space="preserve">, click on the </w:t>
      </w:r>
      <w:r w:rsidR="00954CD0" w:rsidRPr="00685FB0">
        <w:rPr>
          <w:i/>
          <w:sz w:val="24"/>
          <w:szCs w:val="24"/>
        </w:rPr>
        <w:t>Agency Details</w:t>
      </w:r>
      <w:r w:rsidR="00954CD0" w:rsidRPr="007B7BF1">
        <w:rPr>
          <w:sz w:val="24"/>
          <w:szCs w:val="24"/>
        </w:rPr>
        <w:t xml:space="preserve"> field.</w:t>
      </w:r>
      <w:proofErr w:type="gramEnd"/>
      <w:r w:rsidRPr="007B7BF1">
        <w:rPr>
          <w:sz w:val="24"/>
          <w:szCs w:val="24"/>
        </w:rPr>
        <w:t xml:space="preserve"> </w:t>
      </w:r>
      <w:r w:rsidR="00685FB0">
        <w:rPr>
          <w:sz w:val="24"/>
          <w:szCs w:val="24"/>
        </w:rPr>
        <w:t xml:space="preserve">When the </w:t>
      </w:r>
      <w:r w:rsidR="00685FB0" w:rsidRPr="00685FB0">
        <w:rPr>
          <w:i/>
          <w:sz w:val="24"/>
          <w:szCs w:val="24"/>
        </w:rPr>
        <w:t>Edit Agency Details</w:t>
      </w:r>
      <w:r w:rsidR="00483E5E" w:rsidRPr="007B7BF1">
        <w:rPr>
          <w:sz w:val="24"/>
          <w:szCs w:val="24"/>
        </w:rPr>
        <w:t xml:space="preserve"> window pops up, scroll down to contracts and click on the contract number in question.</w:t>
      </w:r>
    </w:p>
    <w:p w:rsidR="00483E5E" w:rsidRDefault="00483E5E" w:rsidP="002769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29400" cy="34846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y_details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48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5E" w:rsidRDefault="00483E5E" w:rsidP="002769CE">
      <w:pPr>
        <w:rPr>
          <w:sz w:val="24"/>
          <w:szCs w:val="24"/>
        </w:rPr>
      </w:pPr>
      <w:r>
        <w:rPr>
          <w:sz w:val="24"/>
          <w:szCs w:val="24"/>
        </w:rPr>
        <w:t>After you have opened the Contract</w:t>
      </w:r>
      <w:r w:rsidR="00685FB0">
        <w:rPr>
          <w:sz w:val="24"/>
          <w:szCs w:val="24"/>
        </w:rPr>
        <w:t xml:space="preserve">, scroll down to the </w:t>
      </w:r>
      <w:r w:rsidR="00685FB0" w:rsidRPr="00685FB0">
        <w:rPr>
          <w:i/>
          <w:sz w:val="24"/>
          <w:szCs w:val="24"/>
        </w:rPr>
        <w:t>Subprograms</w:t>
      </w:r>
      <w:r w:rsidR="007C2F1D">
        <w:rPr>
          <w:sz w:val="24"/>
          <w:szCs w:val="24"/>
        </w:rPr>
        <w:t xml:space="preserve"> section and c</w:t>
      </w:r>
      <w:r w:rsidR="007B7BF1">
        <w:rPr>
          <w:sz w:val="24"/>
          <w:szCs w:val="24"/>
        </w:rPr>
        <w:t>lick on th</w:t>
      </w:r>
      <w:r w:rsidR="007C2F1D">
        <w:rPr>
          <w:sz w:val="24"/>
          <w:szCs w:val="24"/>
        </w:rPr>
        <w:t>e edit Icon.</w:t>
      </w:r>
    </w:p>
    <w:p w:rsidR="007B7BF1" w:rsidRDefault="007B7BF1" w:rsidP="002769C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6524625" cy="2725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program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7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B0E" w:rsidRDefault="007C2F1D" w:rsidP="002769CE">
      <w:pPr>
        <w:rPr>
          <w:sz w:val="24"/>
          <w:szCs w:val="24"/>
        </w:rPr>
      </w:pPr>
      <w:r>
        <w:rPr>
          <w:sz w:val="24"/>
          <w:szCs w:val="24"/>
        </w:rPr>
        <w:t xml:space="preserve">The “Edit Subprogram” window will pop </w:t>
      </w:r>
      <w:proofErr w:type="gramStart"/>
      <w:r>
        <w:rPr>
          <w:sz w:val="24"/>
          <w:szCs w:val="24"/>
        </w:rPr>
        <w:t>up,</w:t>
      </w:r>
      <w:proofErr w:type="gramEnd"/>
      <w:r>
        <w:rPr>
          <w:sz w:val="24"/>
          <w:szCs w:val="24"/>
        </w:rPr>
        <w:t xml:space="preserve"> scroll down until you see the “Service Counties” section. Click the </w:t>
      </w:r>
      <w:r w:rsidR="003B73AD">
        <w:rPr>
          <w:sz w:val="24"/>
          <w:szCs w:val="24"/>
        </w:rPr>
        <w:t>Edit button for your county or c</w:t>
      </w:r>
      <w:r>
        <w:rPr>
          <w:sz w:val="24"/>
          <w:szCs w:val="24"/>
        </w:rPr>
        <w:t>ounties and enter the appropriate</w:t>
      </w:r>
      <w:r w:rsidR="003B73AD">
        <w:rPr>
          <w:sz w:val="24"/>
          <w:szCs w:val="24"/>
        </w:rPr>
        <w:t xml:space="preserve"> amount in the Allocation field</w:t>
      </w:r>
      <w:r w:rsidR="006D5336">
        <w:rPr>
          <w:sz w:val="24"/>
          <w:szCs w:val="24"/>
        </w:rPr>
        <w:t>.</w:t>
      </w:r>
    </w:p>
    <w:p w:rsidR="00B71B0E" w:rsidRDefault="006D5336" w:rsidP="002769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7493D1" wp14:editId="6A579C47">
            <wp:extent cx="6067425" cy="384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_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336" w:rsidRPr="007F472B" w:rsidRDefault="006D5336" w:rsidP="002769CE">
      <w:pPr>
        <w:rPr>
          <w:sz w:val="24"/>
          <w:szCs w:val="24"/>
        </w:rPr>
      </w:pPr>
      <w:r w:rsidRPr="007F472B">
        <w:rPr>
          <w:sz w:val="24"/>
          <w:szCs w:val="24"/>
        </w:rPr>
        <w:t xml:space="preserve"> </w:t>
      </w:r>
      <w:r w:rsidR="003B73AD">
        <w:rPr>
          <w:sz w:val="24"/>
          <w:szCs w:val="24"/>
        </w:rPr>
        <w:t>Make sure a check mark is in the “Active” box and click the floppy disk icon to save the change. Lastly Click Save and Close on the top ribbon to finish and exit.</w:t>
      </w:r>
    </w:p>
    <w:sectPr w:rsidR="006D5336" w:rsidRPr="007F47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23" w:rsidRDefault="00F03323" w:rsidP="00F03323">
      <w:pPr>
        <w:spacing w:after="0" w:line="240" w:lineRule="auto"/>
      </w:pPr>
      <w:r>
        <w:separator/>
      </w:r>
    </w:p>
  </w:endnote>
  <w:endnote w:type="continuationSeparator" w:id="0">
    <w:p w:rsidR="00F03323" w:rsidRDefault="00F03323" w:rsidP="00F0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23" w:rsidRDefault="00685FB0">
    <w:pPr>
      <w:pStyle w:val="Footer"/>
    </w:pPr>
    <w:fldSimple w:instr=" FILENAME  \* FirstCap \p  \* MERGEFORMAT ">
      <w:r w:rsidR="00F03323">
        <w:rPr>
          <w:noProof/>
        </w:rPr>
        <w:t>\\FERGANA\ServTraq\So</w:t>
      </w:r>
      <w:r w:rsidR="00B6108B">
        <w:rPr>
          <w:noProof/>
        </w:rPr>
        <w:t>lutions\county_allocations_v2</w:t>
      </w:r>
      <w:r w:rsidR="00F95DA1">
        <w:rPr>
          <w:noProof/>
        </w:rPr>
        <w:t>_10_17_16</w:t>
      </w:r>
      <w:r w:rsidR="00F03323">
        <w:rPr>
          <w:noProof/>
        </w:rPr>
        <w:t>.docx</w:t>
      </w:r>
    </w:fldSimple>
  </w:p>
  <w:p w:rsidR="00F03323" w:rsidRDefault="00F0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23" w:rsidRDefault="00F03323" w:rsidP="00F03323">
      <w:pPr>
        <w:spacing w:after="0" w:line="240" w:lineRule="auto"/>
      </w:pPr>
      <w:r>
        <w:separator/>
      </w:r>
    </w:p>
  </w:footnote>
  <w:footnote w:type="continuationSeparator" w:id="0">
    <w:p w:rsidR="00F03323" w:rsidRDefault="00F03323" w:rsidP="00F0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E7"/>
    <w:multiLevelType w:val="hybridMultilevel"/>
    <w:tmpl w:val="CC9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7DB4"/>
    <w:multiLevelType w:val="hybridMultilevel"/>
    <w:tmpl w:val="1A44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1"/>
    <w:rsid w:val="00010BD2"/>
    <w:rsid w:val="000F328B"/>
    <w:rsid w:val="002769CE"/>
    <w:rsid w:val="003B73AD"/>
    <w:rsid w:val="00483E5E"/>
    <w:rsid w:val="004B685E"/>
    <w:rsid w:val="00685FB0"/>
    <w:rsid w:val="006D5336"/>
    <w:rsid w:val="007409D0"/>
    <w:rsid w:val="007B7BF1"/>
    <w:rsid w:val="007C2F1D"/>
    <w:rsid w:val="007F472B"/>
    <w:rsid w:val="00954CD0"/>
    <w:rsid w:val="009753DA"/>
    <w:rsid w:val="00A5268D"/>
    <w:rsid w:val="00A97E3B"/>
    <w:rsid w:val="00B6108B"/>
    <w:rsid w:val="00B71B0E"/>
    <w:rsid w:val="00E40F9B"/>
    <w:rsid w:val="00E62A31"/>
    <w:rsid w:val="00EF034C"/>
    <w:rsid w:val="00F03323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23"/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23"/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BE5F-83E0-4DB8-83C7-F5F12BE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 Hoyos</dc:creator>
  <cp:lastModifiedBy>Adam De Hoyos</cp:lastModifiedBy>
  <cp:revision>5</cp:revision>
  <dcterms:created xsi:type="dcterms:W3CDTF">2016-10-10T23:09:00Z</dcterms:created>
  <dcterms:modified xsi:type="dcterms:W3CDTF">2016-10-17T22:26:00Z</dcterms:modified>
</cp:coreProperties>
</file>